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0B1" w:rsidRPr="00E250B1" w:rsidRDefault="00E250B1" w:rsidP="00E250B1">
      <w:pPr>
        <w:rPr>
          <w:sz w:val="24"/>
          <w:szCs w:val="24"/>
        </w:rPr>
      </w:pPr>
      <w:r w:rsidRPr="00E250B1">
        <w:rPr>
          <w:sz w:val="24"/>
          <w:szCs w:val="24"/>
        </w:rPr>
        <w:t>В соответствии с положениями Федерального закона от 27.07.2010 № 210-ФЗ «Об организации предоставления государственных и муниципальных услуг» (далее – Федеральный закон № 210-ФЗ) в случае нарушения прав граждан и организаций при предоставлении государственных и муниципальных услуг указанные лица вправе обжаловать решения и действия (бездействие) органа и должностных лиц, предоставляющих такие услуги,  в досудебном порядке.</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Установлен исчерпывающий перечень случаев, когда заявитель вправе обратиться с такими жалобами, а именно:</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 xml:space="preserve"> -нарушение срока регистрации запроса заявителя о предоставлении государственной или муниципальной услуги;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-нарушение срока предоставления государственной или муниципальной услуги;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E250B1">
        <w:rPr>
          <w:sz w:val="24"/>
          <w:szCs w:val="24"/>
        </w:rPr>
        <w:lastRenderedPageBreak/>
        <w:t>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В соответствии с ч.5 статьи 11.2 данного Федерального закона жалоба должна содержать:</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 xml:space="preserve">При этом жалоба может быть подана заявителем в письменной виде как на бумажном носителе, так и </w:t>
      </w:r>
      <w:proofErr w:type="gramStart"/>
      <w:r w:rsidRPr="00E250B1">
        <w:rPr>
          <w:sz w:val="24"/>
          <w:szCs w:val="24"/>
        </w:rPr>
        <w:t>в  электронной</w:t>
      </w:r>
      <w:proofErr w:type="gramEnd"/>
      <w:r w:rsidRPr="00E250B1">
        <w:rPr>
          <w:sz w:val="24"/>
          <w:szCs w:val="24"/>
        </w:rPr>
        <w:t xml:space="preserve"> форме.</w:t>
      </w:r>
    </w:p>
    <w:p w:rsidR="00E250B1" w:rsidRPr="00E250B1" w:rsidRDefault="00E250B1" w:rsidP="00E250B1">
      <w:pPr>
        <w:rPr>
          <w:sz w:val="24"/>
          <w:szCs w:val="24"/>
        </w:rPr>
      </w:pPr>
    </w:p>
    <w:p w:rsidR="00E250B1" w:rsidRPr="00E250B1" w:rsidRDefault="00E250B1" w:rsidP="00E250B1">
      <w:pPr>
        <w:rPr>
          <w:sz w:val="24"/>
          <w:szCs w:val="24"/>
        </w:rPr>
      </w:pPr>
      <w:r w:rsidRPr="00E250B1">
        <w:rPr>
          <w:sz w:val="24"/>
          <w:szCs w:val="24"/>
        </w:rPr>
        <w:t>По итогам рассмотрения жалобы орган, предоставляющий государственную или муниципальную услугу, принимает решение об удовлетворении жалобы либо об отказе в ее удовлетворении.</w:t>
      </w:r>
    </w:p>
    <w:p w:rsidR="00E250B1" w:rsidRPr="00E250B1" w:rsidRDefault="00E250B1" w:rsidP="00E250B1">
      <w:pPr>
        <w:rPr>
          <w:sz w:val="24"/>
          <w:szCs w:val="24"/>
        </w:rPr>
      </w:pPr>
    </w:p>
    <w:p w:rsidR="00CC3AA5" w:rsidRPr="00E250B1" w:rsidRDefault="00E250B1" w:rsidP="00E250B1">
      <w:pPr>
        <w:rPr>
          <w:sz w:val="24"/>
          <w:szCs w:val="24"/>
        </w:rPr>
      </w:pPr>
      <w:r w:rsidRPr="00E250B1">
        <w:rPr>
          <w:sz w:val="24"/>
          <w:szCs w:val="24"/>
        </w:rPr>
        <w:t>При соблюдении вышеуказанных условий в части оснований подачи жалоб, требований к их содержанию и порядку направления, срок рассмотрения таких жалоб не может превышать 15 рабочих дней с момента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течение 5 рабочих дней со дня ее регистрации.</w:t>
      </w:r>
      <w:bookmarkStart w:id="0" w:name="_GoBack"/>
      <w:bookmarkEnd w:id="0"/>
    </w:p>
    <w:sectPr w:rsidR="00CC3AA5" w:rsidRPr="00E25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B1"/>
    <w:rsid w:val="005A7E5D"/>
    <w:rsid w:val="00D05EF2"/>
    <w:rsid w:val="00E2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2DA4B-C3B6-43A4-8AD2-9283FB82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2021-02-11T14:04:00Z</dcterms:created>
  <dcterms:modified xsi:type="dcterms:W3CDTF">2021-02-11T14:04:00Z</dcterms:modified>
</cp:coreProperties>
</file>